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4BAB6AA6"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B3212F">
        <w:rPr>
          <w:rFonts w:hint="eastAsia"/>
          <w:spacing w:val="0"/>
          <w:sz w:val="21"/>
          <w:szCs w:val="21"/>
        </w:rPr>
        <w:t>5</w:t>
      </w:r>
      <w:r w:rsidR="00281E94" w:rsidRPr="008D5347">
        <w:rPr>
          <w:spacing w:val="0"/>
          <w:sz w:val="21"/>
          <w:szCs w:val="21"/>
        </w:rPr>
        <w:t xml:space="preserve">月　</w:t>
      </w:r>
      <w:r w:rsidR="00B3212F">
        <w:rPr>
          <w:rFonts w:hint="eastAsia"/>
          <w:spacing w:val="0"/>
          <w:sz w:val="21"/>
          <w:szCs w:val="21"/>
        </w:rPr>
        <w:t>11</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4F3C31"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4F3C31" w:rsidRPr="00B34CE2" w:rsidRDefault="004F3C31" w:rsidP="004F3C31">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4A39660C"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金沢大学理工研究域機械工学系</w:t>
            </w:r>
          </w:p>
        </w:tc>
      </w:tr>
      <w:tr w:rsidR="004F3C31"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4F3C31" w:rsidRPr="00B34CE2" w:rsidRDefault="004F3C31" w:rsidP="004F3C31">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170CB6D3"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4F3C31"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4F3C31" w:rsidRPr="00B34CE2" w:rsidRDefault="004F3C31" w:rsidP="004F3C31">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5DCE75AC"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石川和宏</w:t>
            </w:r>
          </w:p>
        </w:tc>
      </w:tr>
      <w:tr w:rsidR="004F3C31"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4F3C31" w:rsidRPr="00B34CE2" w:rsidRDefault="004F3C31" w:rsidP="004F3C31">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4F3C31" w:rsidRPr="00B34CE2" w:rsidRDefault="004F3C31" w:rsidP="004F3C31">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54852A17"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熊本大学先進マグネシウム国際研究センター</w:t>
            </w:r>
          </w:p>
        </w:tc>
      </w:tr>
      <w:tr w:rsidR="004F3C31"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4F3C31" w:rsidRPr="00B34CE2" w:rsidRDefault="004F3C31" w:rsidP="004F3C31">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13AC8FB2"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4F3C31"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4F3C31" w:rsidRPr="00B34CE2" w:rsidRDefault="004F3C31" w:rsidP="004F3C31">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4F3C31" w:rsidRPr="00B34CE2" w:rsidRDefault="004F3C31" w:rsidP="004F3C31">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E11633F" w:rsidR="004F3C31" w:rsidRPr="00B34CE2" w:rsidRDefault="004F3C31" w:rsidP="004F3C31">
            <w:pPr>
              <w:rPr>
                <w:rFonts w:ascii="ＭＳ Ｐ明朝" w:eastAsia="ＭＳ Ｐ明朝" w:hAnsi="ＭＳ Ｐ明朝"/>
                <w:sz w:val="22"/>
                <w:szCs w:val="22"/>
              </w:rPr>
            </w:pPr>
            <w:r>
              <w:rPr>
                <w:rFonts w:ascii="ＭＳ Ｐ明朝" w:eastAsia="ＭＳ Ｐ明朝" w:hAnsi="ＭＳ Ｐ明朝" w:hint="eastAsia"/>
                <w:sz w:val="22"/>
                <w:szCs w:val="22"/>
              </w:rPr>
              <w:t>河村能人</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7BC59D19" w14:textId="10C1324B" w:rsidR="00596D90" w:rsidRPr="00B34CE2" w:rsidRDefault="004F3C31" w:rsidP="00A16AEA">
            <w:pPr>
              <w:rPr>
                <w:rFonts w:ascii="ＭＳ Ｐ明朝" w:eastAsia="ＭＳ Ｐ明朝" w:hAnsi="ＭＳ Ｐ明朝"/>
                <w:sz w:val="22"/>
                <w:szCs w:val="22"/>
              </w:rPr>
            </w:pPr>
            <w:r>
              <w:rPr>
                <w:rFonts w:ascii="ＭＳ Ｐ明朝" w:eastAsia="ＭＳ Ｐ明朝" w:hAnsi="ＭＳ Ｐ明朝" w:hint="eastAsia"/>
              </w:rPr>
              <w:t>ミルフィーユ構造を有するTiNi―Nb合金の引張試験中その場電気抵抗測定</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6D04912F" w:rsidR="00596D90" w:rsidRPr="00B34CE2" w:rsidRDefault="004F3C31"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59382AB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4AB31B4D" w:rsidR="00596D90" w:rsidRPr="00B34CE2" w:rsidRDefault="004F3C31"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4953E514" w:rsidR="00A16AEA" w:rsidRPr="00B34CE2" w:rsidRDefault="004F3C31" w:rsidP="00E232A0">
            <w:pPr>
              <w:ind w:right="68"/>
              <w:rPr>
                <w:rFonts w:ascii="ＭＳ Ｐ明朝" w:eastAsia="ＭＳ Ｐ明朝" w:hAnsi="ＭＳ Ｐ明朝"/>
                <w:sz w:val="22"/>
                <w:szCs w:val="22"/>
              </w:rPr>
            </w:pPr>
            <w:r>
              <w:rPr>
                <w:rFonts w:ascii="ＭＳ Ｐ明朝" w:eastAsia="ＭＳ Ｐ明朝" w:hAnsi="ＭＳ Ｐ明朝" w:hint="eastAsia"/>
              </w:rPr>
              <w:t>SEM－EBSD装置</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7C27B48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4F3C31">
              <w:rPr>
                <w:rFonts w:ascii="ＭＳ Ｐ明朝" w:eastAsia="ＭＳ Ｐ明朝" w:hAnsi="ＭＳ Ｐ明朝" w:hint="eastAsia"/>
                <w:sz w:val="22"/>
                <w:szCs w:val="22"/>
              </w:rPr>
              <w:t>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2F448D6C"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4F3C31">
              <w:rPr>
                <w:rFonts w:ascii="ＭＳ Ｐ明朝" w:eastAsia="ＭＳ Ｐ明朝" w:hAnsi="ＭＳ Ｐ明朝" w:hint="eastAsia"/>
                <w:sz w:val="22"/>
                <w:szCs w:val="22"/>
              </w:rPr>
              <w:t>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5927ED" w:rsidRDefault="00596D90" w:rsidP="00A16AEA">
            <w:pPr>
              <w:pStyle w:val="a3"/>
              <w:spacing w:line="288" w:lineRule="atLeast"/>
              <w:rPr>
                <w:rFonts w:ascii="ＭＳ Ｐ明朝" w:eastAsia="ＭＳ Ｐ明朝" w:hAnsi="ＭＳ Ｐ明朝"/>
                <w:b/>
                <w:color w:val="FF0000"/>
                <w:spacing w:val="0"/>
                <w:sz w:val="16"/>
              </w:rPr>
            </w:pPr>
            <w:r w:rsidRPr="0071088A">
              <w:rPr>
                <w:rFonts w:ascii="ＭＳ Ｐ明朝" w:eastAsia="ＭＳ Ｐ明朝" w:hAnsi="ＭＳ Ｐ明朝" w:hint="eastAsia"/>
                <w:b/>
                <w:bCs/>
                <w:spacing w:val="0"/>
              </w:rPr>
              <w:t>研究成果内容</w:t>
            </w:r>
            <w:r w:rsidRPr="005927ED">
              <w:rPr>
                <w:rFonts w:ascii="ＭＳ Ｐ明朝" w:eastAsia="ＭＳ Ｐ明朝" w:hAnsi="ＭＳ Ｐ明朝" w:hint="eastAsia"/>
                <w:spacing w:val="0"/>
              </w:rPr>
              <w:t xml:space="preserve">　</w:t>
            </w:r>
            <w:r w:rsidRPr="005927ED">
              <w:rPr>
                <w:rFonts w:ascii="ＭＳ Ｐ明朝" w:eastAsia="ＭＳ Ｐ明朝" w:hAnsi="ＭＳ Ｐ明朝" w:hint="eastAsia"/>
                <w:b/>
                <w:color w:val="FF0000"/>
                <w:spacing w:val="0"/>
                <w:sz w:val="16"/>
                <w:szCs w:val="18"/>
              </w:rPr>
              <w:t>※「</w:t>
            </w:r>
            <w:r w:rsidRPr="005927ED">
              <w:rPr>
                <w:rFonts w:ascii="ＭＳ Ｐ明朝" w:eastAsia="ＭＳ Ｐ明朝" w:hAnsi="ＭＳ Ｐ明朝" w:hint="eastAsia"/>
                <w:b/>
                <w:color w:val="FF0000"/>
                <w:spacing w:val="0"/>
                <w:sz w:val="16"/>
              </w:rPr>
              <w:t>研究成果」、「</w:t>
            </w:r>
            <w:r w:rsidRPr="005927ED">
              <w:rPr>
                <w:rFonts w:ascii="ＭＳ Ｐ明朝" w:eastAsia="ＭＳ Ｐ明朝" w:hAnsi="ＭＳ Ｐ明朝"/>
                <w:b/>
                <w:color w:val="FF0000"/>
                <w:spacing w:val="0"/>
                <w:sz w:val="16"/>
              </w:rPr>
              <w:t>展望</w:t>
            </w:r>
            <w:r w:rsidRPr="005927ED">
              <w:rPr>
                <w:rFonts w:ascii="ＭＳ Ｐ明朝" w:eastAsia="ＭＳ Ｐ明朝" w:hAnsi="ＭＳ Ｐ明朝" w:hint="eastAsia"/>
                <w:b/>
                <w:color w:val="FF0000"/>
                <w:spacing w:val="0"/>
                <w:sz w:val="16"/>
              </w:rPr>
              <w:t>」、「具体的な成果」について、簡潔に記述してください。</w:t>
            </w:r>
          </w:p>
          <w:p w14:paraId="2E2165E4"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【主な研究成果】</w:t>
            </w:r>
          </w:p>
          <w:p w14:paraId="6584E18A" w14:textId="30FF842A" w:rsidR="00FA13B5" w:rsidRPr="00FA13B5" w:rsidRDefault="00B3212F" w:rsidP="00FA13B5">
            <w:pPr>
              <w:pStyle w:val="a3"/>
              <w:spacing w:line="288" w:lineRule="atLeast"/>
              <w:rPr>
                <w:rFonts w:ascii="ＭＳ Ｐ明朝" w:eastAsia="ＭＳ Ｐ明朝" w:hAnsi="ＭＳ Ｐ明朝"/>
              </w:rPr>
            </w:pPr>
            <w:r>
              <w:rPr>
                <w:rFonts w:ascii="ＭＳ Ｐ明朝" w:eastAsia="ＭＳ Ｐ明朝" w:hAnsi="ＭＳ Ｐ明朝" w:hint="eastAsia"/>
                <w:spacing w:val="0"/>
              </w:rPr>
              <w:t xml:space="preserve">　</w:t>
            </w:r>
            <w:r w:rsidR="00FA13B5" w:rsidRPr="00FA13B5">
              <w:rPr>
                <w:rFonts w:ascii="ＭＳ Ｐ明朝" w:eastAsia="ＭＳ Ｐ明朝" w:hAnsi="ＭＳ Ｐ明朝"/>
              </w:rPr>
              <w:t>Nb-TiNi合金の圧延および熱処理による微細組織の変化と機械的性質について調査した。本合金は鋳造状態では、bcc構造のNb相とB2構造のTiNi相からなるミルフィーユ状の組織を形成する。これを30％圧延すると、新たに単斜晶（monoclinic）のTiNi相が生成した。さらに1373Kで熱処理を行うと、ミルフィーユ構造は消失し、均一な粒状組織へと変化した。この合金に対して引張試験を行ったところ、降伏応力は約450 MPa、破断ひずみは約40％であり、高い延性を示した。また、降伏後には応力プラトーが観察された。一方、比較のため同条件で作製したNb-TiCo合金では、破断伸びは約3％と低く、応力プラトーも見られなかった。このことから、両合金の延性には大きな差があることが分かった。</w:t>
            </w:r>
          </w:p>
          <w:p w14:paraId="20E41EB9" w14:textId="540B58CD" w:rsidR="00FA13B5" w:rsidRPr="00FA13B5" w:rsidRDefault="00FA13B5" w:rsidP="00FA13B5">
            <w:pPr>
              <w:pStyle w:val="a3"/>
              <w:spacing w:line="288" w:lineRule="atLeast"/>
              <w:ind w:firstLineChars="100" w:firstLine="216"/>
              <w:rPr>
                <w:rFonts w:ascii="ＭＳ Ｐ明朝" w:eastAsia="ＭＳ Ｐ明朝" w:hAnsi="ＭＳ Ｐ明朝"/>
              </w:rPr>
            </w:pPr>
            <w:r w:rsidRPr="00FA13B5">
              <w:rPr>
                <w:rFonts w:ascii="ＭＳ Ｐ明朝" w:eastAsia="ＭＳ Ｐ明朝" w:hAnsi="ＭＳ Ｐ明朝"/>
              </w:rPr>
              <w:t>Nb-TiNi合金における応力プラトーおよび高延性の原因を調べるため、引張試験中にその場電気抵抗測定を行った。一般に、試験中に相変態などが起こらない場合には、</w:t>
            </w:r>
            <w:r>
              <w:rPr>
                <w:rFonts w:ascii="ＭＳ Ｐ明朝" w:eastAsia="ＭＳ Ｐ明朝" w:hAnsi="ＭＳ Ｐ明朝" w:hint="eastAsia"/>
              </w:rPr>
              <w:t>伸び</w:t>
            </w:r>
            <w:r w:rsidRPr="00FA13B5">
              <w:rPr>
                <w:rFonts w:ascii="ＭＳ Ｐ明朝" w:eastAsia="ＭＳ Ｐ明朝" w:hAnsi="ＭＳ Ｐ明朝"/>
              </w:rPr>
              <w:t>の増加に伴う断面積の減少や格子欠陥の増加により、電気抵抗は単調に増加する。しかし、本合金では降伏後に電気抵抗が低下する挙動が確認された。さらに、引張試験中に除荷・再負荷を繰り返すと、ヒステリシスを伴うループ状の応力履歴が現れた。これに対して、延性の低いNb-TiCo合金では、電気抵抗の低下やループ状の応力履歴は観察されなかった。以上の結果から、Nb-TiNi合金では変形中に応力誘起マルテンサイト変態が生じており、これが高延性の要因となっていると考えられる。</w:t>
            </w:r>
          </w:p>
          <w:p w14:paraId="6A6CDD1F" w14:textId="6A7B6796"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【今後の展望】</w:t>
            </w:r>
          </w:p>
          <w:p w14:paraId="33BE9823" w14:textId="3988E77B" w:rsidR="00FA13B5" w:rsidRPr="00FA13B5" w:rsidRDefault="00EC0058" w:rsidP="00FA13B5">
            <w:pPr>
              <w:pStyle w:val="a3"/>
              <w:spacing w:line="288" w:lineRule="atLeast"/>
              <w:rPr>
                <w:rFonts w:ascii="ＭＳ Ｐ明朝" w:eastAsia="ＭＳ Ｐ明朝" w:hAnsi="ＭＳ Ｐ明朝"/>
              </w:rPr>
            </w:pPr>
            <w:r>
              <w:rPr>
                <w:rFonts w:ascii="ＭＳ Ｐ明朝" w:eastAsia="ＭＳ Ｐ明朝" w:hAnsi="ＭＳ Ｐ明朝" w:hint="eastAsia"/>
                <w:spacing w:val="0"/>
              </w:rPr>
              <w:t xml:space="preserve">　</w:t>
            </w:r>
            <w:r w:rsidR="00FA13B5" w:rsidRPr="00FA13B5">
              <w:rPr>
                <w:rFonts w:ascii="ＭＳ Ｐ明朝" w:eastAsia="ＭＳ Ｐ明朝" w:hAnsi="ＭＳ Ｐ明朝"/>
              </w:rPr>
              <w:t>Nb-TiNi合金は優れた延性を有する一方で、圧延によって低下した水素透過度が熱処理によって回復しにくいという課題がある。一方、Nb-TiCo合金は熱処理により水素透過度を回復しやすいものの、延性に乏しい。このことから、両者の中間組成であるNb-Ti(Ni, Co)合金を用いることで、延性と水素透過性の両立が可能になると考えられる。今後は、Nb-Ti(Ni, Co)合金において、微細組織、水素透過度、および機械的性質の関係を明らかにし、両特性を兼ね備えた材料の開発を進める。</w:t>
            </w:r>
          </w:p>
          <w:p w14:paraId="6BD6149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【具体的な成果】</w:t>
            </w:r>
          </w:p>
          <w:p w14:paraId="5BCA6966" w14:textId="77777777" w:rsidR="00596D90" w:rsidRPr="005927ED" w:rsidRDefault="00596D90" w:rsidP="00A16AEA">
            <w:pPr>
              <w:pStyle w:val="a3"/>
              <w:spacing w:line="288" w:lineRule="atLeast"/>
              <w:rPr>
                <w:rFonts w:ascii="ＭＳ Ｐ明朝" w:eastAsia="ＭＳ Ｐ明朝" w:hAnsi="ＭＳ Ｐ明朝"/>
                <w:spacing w:val="0"/>
              </w:rPr>
            </w:pPr>
            <w:r w:rsidRPr="005927ED">
              <w:rPr>
                <w:rFonts w:ascii="ＭＳ Ｐ明朝" w:eastAsia="ＭＳ Ｐ明朝" w:hAnsi="ＭＳ Ｐ明朝" w:hint="eastAsia"/>
                <w:spacing w:val="0"/>
              </w:rPr>
              <w:t xml:space="preserve">　●学会発表</w:t>
            </w:r>
          </w:p>
          <w:p w14:paraId="2B1D7F3D" w14:textId="3AB5A8DE" w:rsidR="00596D90" w:rsidRPr="005927ED" w:rsidRDefault="00AB4B10" w:rsidP="005927ED">
            <w:pPr>
              <w:pStyle w:val="a3"/>
              <w:spacing w:line="288" w:lineRule="atLeast"/>
              <w:rPr>
                <w:rFonts w:ascii="ＭＳ Ｐ明朝" w:eastAsia="ＭＳ Ｐ明朝" w:hAnsi="ＭＳ Ｐ明朝"/>
              </w:rPr>
            </w:pPr>
            <w:r w:rsidRPr="00AB4B10">
              <w:rPr>
                <w:rFonts w:ascii="ＭＳ Ｐ明朝" w:eastAsia="ＭＳ Ｐ明朝" w:hAnsi="ＭＳ Ｐ明朝"/>
              </w:rPr>
              <w:t>藤澤新、宮嶋陽司、石川和宏</w:t>
            </w:r>
            <w:r>
              <w:rPr>
                <w:rFonts w:ascii="ＭＳ Ｐ明朝" w:eastAsia="ＭＳ Ｐ明朝" w:hAnsi="ＭＳ Ｐ明朝" w:hint="eastAsia"/>
              </w:rPr>
              <w:t>、「</w:t>
            </w:r>
            <w:r w:rsidRPr="00AB4B10">
              <w:rPr>
                <w:rFonts w:ascii="ＭＳ Ｐ明朝" w:eastAsia="ＭＳ Ｐ明朝" w:hAnsi="ＭＳ Ｐ明朝"/>
              </w:rPr>
              <w:t>水素雰囲気下における Nb-TiCo 水素透過合金のその場電気抵抗測定</w:t>
            </w:r>
            <w:r>
              <w:rPr>
                <w:rFonts w:ascii="ＭＳ Ｐ明朝" w:eastAsia="ＭＳ Ｐ明朝" w:hAnsi="ＭＳ Ｐ明朝" w:hint="eastAsia"/>
              </w:rPr>
              <w:t>」、日本金属学会秋期講演大会（札幌市）、2025年9月</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D443" w14:textId="77777777" w:rsidR="00643F48" w:rsidRDefault="00643F48">
      <w:r>
        <w:separator/>
      </w:r>
    </w:p>
  </w:endnote>
  <w:endnote w:type="continuationSeparator" w:id="0">
    <w:p w14:paraId="76E607B1" w14:textId="77777777" w:rsidR="00643F48" w:rsidRDefault="0064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EC7A" w14:textId="77777777" w:rsidR="00643F48" w:rsidRDefault="00643F48">
      <w:r>
        <w:separator/>
      </w:r>
    </w:p>
  </w:footnote>
  <w:footnote w:type="continuationSeparator" w:id="0">
    <w:p w14:paraId="65B3F089" w14:textId="77777777" w:rsidR="00643F48" w:rsidRDefault="00643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4144F"/>
    <w:rsid w:val="000425F5"/>
    <w:rsid w:val="00047318"/>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E2DFF"/>
    <w:rsid w:val="002F1D8B"/>
    <w:rsid w:val="00302B11"/>
    <w:rsid w:val="003050D7"/>
    <w:rsid w:val="003135D6"/>
    <w:rsid w:val="0031654D"/>
    <w:rsid w:val="00341201"/>
    <w:rsid w:val="00347894"/>
    <w:rsid w:val="00361542"/>
    <w:rsid w:val="00362F56"/>
    <w:rsid w:val="003709E8"/>
    <w:rsid w:val="00376033"/>
    <w:rsid w:val="00395960"/>
    <w:rsid w:val="00396C5F"/>
    <w:rsid w:val="003B1E8B"/>
    <w:rsid w:val="003B415C"/>
    <w:rsid w:val="003C2534"/>
    <w:rsid w:val="003C3134"/>
    <w:rsid w:val="003D0596"/>
    <w:rsid w:val="003E4667"/>
    <w:rsid w:val="003F58CB"/>
    <w:rsid w:val="003F5E5B"/>
    <w:rsid w:val="0040069F"/>
    <w:rsid w:val="004024A8"/>
    <w:rsid w:val="00406AD6"/>
    <w:rsid w:val="00411B8E"/>
    <w:rsid w:val="004236F7"/>
    <w:rsid w:val="00430ED2"/>
    <w:rsid w:val="004335B3"/>
    <w:rsid w:val="00443DAF"/>
    <w:rsid w:val="0046310B"/>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F3C31"/>
    <w:rsid w:val="005060E2"/>
    <w:rsid w:val="005062EA"/>
    <w:rsid w:val="00522D31"/>
    <w:rsid w:val="00541B78"/>
    <w:rsid w:val="00543EB3"/>
    <w:rsid w:val="005464DF"/>
    <w:rsid w:val="00555C1D"/>
    <w:rsid w:val="00556112"/>
    <w:rsid w:val="0056528D"/>
    <w:rsid w:val="005665CC"/>
    <w:rsid w:val="00570FF9"/>
    <w:rsid w:val="005866C8"/>
    <w:rsid w:val="005927ED"/>
    <w:rsid w:val="00596D90"/>
    <w:rsid w:val="005B0D1E"/>
    <w:rsid w:val="005C15A9"/>
    <w:rsid w:val="005E3E12"/>
    <w:rsid w:val="005F7A9B"/>
    <w:rsid w:val="006072A7"/>
    <w:rsid w:val="00643F48"/>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8106CE"/>
    <w:rsid w:val="0082478C"/>
    <w:rsid w:val="0082488C"/>
    <w:rsid w:val="0082670D"/>
    <w:rsid w:val="00835366"/>
    <w:rsid w:val="008363C6"/>
    <w:rsid w:val="00837F72"/>
    <w:rsid w:val="008463DA"/>
    <w:rsid w:val="00846FB5"/>
    <w:rsid w:val="0085635E"/>
    <w:rsid w:val="00864BA7"/>
    <w:rsid w:val="00867C37"/>
    <w:rsid w:val="00870BE9"/>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534DB"/>
    <w:rsid w:val="00954345"/>
    <w:rsid w:val="009637A5"/>
    <w:rsid w:val="0098375D"/>
    <w:rsid w:val="009C69DB"/>
    <w:rsid w:val="009C7D2B"/>
    <w:rsid w:val="009D1A94"/>
    <w:rsid w:val="009E7330"/>
    <w:rsid w:val="00A047CF"/>
    <w:rsid w:val="00A058C8"/>
    <w:rsid w:val="00A074A5"/>
    <w:rsid w:val="00A16AEA"/>
    <w:rsid w:val="00A34218"/>
    <w:rsid w:val="00A50EBB"/>
    <w:rsid w:val="00A55677"/>
    <w:rsid w:val="00A56A37"/>
    <w:rsid w:val="00A604E0"/>
    <w:rsid w:val="00A61C3C"/>
    <w:rsid w:val="00A755D9"/>
    <w:rsid w:val="00A818CD"/>
    <w:rsid w:val="00A821C7"/>
    <w:rsid w:val="00A856E9"/>
    <w:rsid w:val="00A85CDB"/>
    <w:rsid w:val="00A97EBC"/>
    <w:rsid w:val="00AA1B3A"/>
    <w:rsid w:val="00AB11BE"/>
    <w:rsid w:val="00AB4B10"/>
    <w:rsid w:val="00AC7935"/>
    <w:rsid w:val="00AD1162"/>
    <w:rsid w:val="00AF2175"/>
    <w:rsid w:val="00AF2F5D"/>
    <w:rsid w:val="00AF4A6E"/>
    <w:rsid w:val="00AF6EF7"/>
    <w:rsid w:val="00B3212F"/>
    <w:rsid w:val="00B34CE2"/>
    <w:rsid w:val="00B40432"/>
    <w:rsid w:val="00B4528B"/>
    <w:rsid w:val="00B45404"/>
    <w:rsid w:val="00B5071D"/>
    <w:rsid w:val="00B54F0D"/>
    <w:rsid w:val="00B678E9"/>
    <w:rsid w:val="00B7757C"/>
    <w:rsid w:val="00B867AE"/>
    <w:rsid w:val="00B87A87"/>
    <w:rsid w:val="00B9237F"/>
    <w:rsid w:val="00B96D17"/>
    <w:rsid w:val="00BB119D"/>
    <w:rsid w:val="00BB1248"/>
    <w:rsid w:val="00BB3CAA"/>
    <w:rsid w:val="00BB710D"/>
    <w:rsid w:val="00BE69C3"/>
    <w:rsid w:val="00BE6C3E"/>
    <w:rsid w:val="00C16201"/>
    <w:rsid w:val="00C336BA"/>
    <w:rsid w:val="00C4373F"/>
    <w:rsid w:val="00C52B27"/>
    <w:rsid w:val="00C608C4"/>
    <w:rsid w:val="00C6198A"/>
    <w:rsid w:val="00C61D00"/>
    <w:rsid w:val="00C75BA8"/>
    <w:rsid w:val="00C806F8"/>
    <w:rsid w:val="00C84046"/>
    <w:rsid w:val="00C8773A"/>
    <w:rsid w:val="00C93DC4"/>
    <w:rsid w:val="00C94BC8"/>
    <w:rsid w:val="00CB631A"/>
    <w:rsid w:val="00CC2722"/>
    <w:rsid w:val="00CC3420"/>
    <w:rsid w:val="00CD363D"/>
    <w:rsid w:val="00CD5A91"/>
    <w:rsid w:val="00CD6D9E"/>
    <w:rsid w:val="00CE285E"/>
    <w:rsid w:val="00CE43F0"/>
    <w:rsid w:val="00CE65BF"/>
    <w:rsid w:val="00CF0215"/>
    <w:rsid w:val="00CF6178"/>
    <w:rsid w:val="00D25AF2"/>
    <w:rsid w:val="00D26A00"/>
    <w:rsid w:val="00D33219"/>
    <w:rsid w:val="00D50603"/>
    <w:rsid w:val="00D520B8"/>
    <w:rsid w:val="00D7048F"/>
    <w:rsid w:val="00D8291B"/>
    <w:rsid w:val="00D82B04"/>
    <w:rsid w:val="00D82C90"/>
    <w:rsid w:val="00D82DA2"/>
    <w:rsid w:val="00DA0032"/>
    <w:rsid w:val="00DA044E"/>
    <w:rsid w:val="00DA67A8"/>
    <w:rsid w:val="00DA74BF"/>
    <w:rsid w:val="00DB1B60"/>
    <w:rsid w:val="00DB4369"/>
    <w:rsid w:val="00DB4738"/>
    <w:rsid w:val="00DD0428"/>
    <w:rsid w:val="00DD5F5D"/>
    <w:rsid w:val="00DF4E75"/>
    <w:rsid w:val="00E152D1"/>
    <w:rsid w:val="00E41F6F"/>
    <w:rsid w:val="00E442D8"/>
    <w:rsid w:val="00E6722A"/>
    <w:rsid w:val="00E7114C"/>
    <w:rsid w:val="00E84395"/>
    <w:rsid w:val="00E878C2"/>
    <w:rsid w:val="00E96D99"/>
    <w:rsid w:val="00EA178E"/>
    <w:rsid w:val="00EA2364"/>
    <w:rsid w:val="00EA3DDE"/>
    <w:rsid w:val="00EB3380"/>
    <w:rsid w:val="00EB4063"/>
    <w:rsid w:val="00EC0058"/>
    <w:rsid w:val="00EC291F"/>
    <w:rsid w:val="00ED4F86"/>
    <w:rsid w:val="00ED71D6"/>
    <w:rsid w:val="00EE06CF"/>
    <w:rsid w:val="00F076DC"/>
    <w:rsid w:val="00F16AE6"/>
    <w:rsid w:val="00F366F3"/>
    <w:rsid w:val="00F3695C"/>
    <w:rsid w:val="00F76A1C"/>
    <w:rsid w:val="00F77506"/>
    <w:rsid w:val="00F831D8"/>
    <w:rsid w:val="00F8407A"/>
    <w:rsid w:val="00F84B01"/>
    <w:rsid w:val="00F90B8A"/>
    <w:rsid w:val="00F92C5E"/>
    <w:rsid w:val="00F93EFE"/>
    <w:rsid w:val="00F963DD"/>
    <w:rsid w:val="00FA0990"/>
    <w:rsid w:val="00FA0C83"/>
    <w:rsid w:val="00FA13B5"/>
    <w:rsid w:val="00FA5486"/>
    <w:rsid w:val="00FB7893"/>
    <w:rsid w:val="00FC32B0"/>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A13B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2</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石川 和宏</cp:lastModifiedBy>
  <cp:revision>10</cp:revision>
  <cp:lastPrinted>2017-05-26T07:42:00Z</cp:lastPrinted>
  <dcterms:created xsi:type="dcterms:W3CDTF">2026-04-13T06:14:00Z</dcterms:created>
  <dcterms:modified xsi:type="dcterms:W3CDTF">2026-05-26T09:25:00Z</dcterms:modified>
</cp:coreProperties>
</file>