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0963714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EB3380">
        <w:rPr>
          <w:rFonts w:hint="eastAsia"/>
          <w:spacing w:val="0"/>
          <w:sz w:val="24"/>
          <w:szCs w:val="28"/>
        </w:rPr>
        <w:t>５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6513E7C1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EB3380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941C5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月</w:t>
      </w:r>
      <w:r w:rsidR="00941C56">
        <w:rPr>
          <w:rFonts w:hint="eastAsia"/>
          <w:spacing w:val="0"/>
          <w:sz w:val="21"/>
          <w:szCs w:val="21"/>
        </w:rPr>
        <w:t xml:space="preserve"> </w:t>
      </w:r>
      <w:r w:rsidR="002B3E01">
        <w:rPr>
          <w:spacing w:val="0"/>
          <w:sz w:val="21"/>
          <w:szCs w:val="21"/>
        </w:rPr>
        <w:t>2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64C8009F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大阪大学超高圧電子顕微鏡センター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08B19032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准教授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7EEA62E4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佐藤 和久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2DCAE752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富山大学先進アルミニウム国際研究センター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48BD6360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35CD0BAF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石本 卓也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272FCFE6" w:rsidR="00596D90" w:rsidRPr="00B34CE2" w:rsidRDefault="00941C56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レーザー照射による急冷下で形成される生体用合金の特異組織・機能性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35F8D330" w:rsidR="00596D90" w:rsidRPr="00B34CE2" w:rsidRDefault="00941C5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6BB044C4" w:rsidR="00596D90" w:rsidRPr="00B34CE2" w:rsidRDefault="00941C56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973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vAlign w:val="center"/>
          </w:tcPr>
          <w:p w14:paraId="624103B9" w14:textId="07D737BC" w:rsidR="00A16AEA" w:rsidRPr="00B34CE2" w:rsidRDefault="00941C56" w:rsidP="00973139">
            <w:pPr>
              <w:ind w:right="6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電子顕微鏡、力学試験機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80E34EB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　　</w:t>
            </w:r>
            <w:r w:rsidR="00941C56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941C56">
              <w:rPr>
                <w:rFonts w:ascii="ＭＳ Ｐ明朝" w:eastAsia="ＭＳ Ｐ明朝" w:hAnsi="ＭＳ Ｐ明朝"/>
                <w:sz w:val="22"/>
                <w:szCs w:val="22"/>
              </w:rPr>
              <w:t xml:space="preserve">40,000 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132E9052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　　　</w:t>
            </w:r>
            <w:r w:rsidR="00941C56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 w:rsidR="00941C56">
              <w:rPr>
                <w:rFonts w:ascii="ＭＳ Ｐ明朝" w:eastAsia="ＭＳ Ｐ明朝" w:hAnsi="ＭＳ Ｐ明朝"/>
                <w:sz w:val="22"/>
                <w:szCs w:val="22"/>
              </w:rPr>
              <w:t>0.000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419D0E92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</w:p>
          <w:p w14:paraId="3AF52A84" w14:textId="1791FEC0" w:rsidR="00596D90" w:rsidRPr="002B3E01" w:rsidRDefault="002B3E01" w:rsidP="002B3E01">
            <w:pPr>
              <w:pStyle w:val="a3"/>
              <w:wordWrap/>
              <w:spacing w:line="240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Times New Roman" w:eastAsia="ＭＳ Ｐ明朝" w:hAnsi="Times New Roman" w:cs="Times New Roma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1B13F" wp14:editId="7B3EC245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776605</wp:posOffset>
                      </wp:positionV>
                      <wp:extent cx="2543175" cy="1704975"/>
                      <wp:effectExtent l="0" t="0" r="9525" b="9525"/>
                      <wp:wrapSquare wrapText="bothSides"/>
                      <wp:docPr id="14571200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011CE" w14:textId="35C55795" w:rsidR="00673271" w:rsidRDefault="00673271">
                                  <w:r w:rsidRPr="0067327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BDAF7D" wp14:editId="5DFF4653">
                                        <wp:extent cx="2392045" cy="1256030"/>
                                        <wp:effectExtent l="0" t="0" r="8255" b="1270"/>
                                        <wp:docPr id="31" name="図 3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4490B048-902A-F18D-4F9D-3270A58AA0D9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図 3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4490B048-902A-F18D-4F9D-3270A58AA0D9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92045" cy="1256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476758" w14:textId="43B3565F" w:rsidR="00673271" w:rsidRDefault="00673271" w:rsidP="002B3E01">
                                  <w:pPr>
                                    <w:jc w:val="left"/>
                                  </w:pPr>
                                  <w:r w:rsidRPr="003B7FF7">
                                    <w:rPr>
                                      <w:rFonts w:ascii="Times New Roman" w:eastAsia="ＭＳ Ｐ明朝" w:hAnsi="Times New Roman"/>
                                    </w:rPr>
                                    <w:t>Ti-6Al-4V/Ti-15Mo-5Zr-3A</w:t>
                                  </w:r>
                                  <w:r>
                                    <w:rPr>
                                      <w:rFonts w:ascii="Times New Roman" w:eastAsia="ＭＳ Ｐ明朝" w:hAnsi="Times New Roman" w:hint="eastAsia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ＭＳ Ｐ明朝" w:hAnsi="Times New Roman" w:hint="eastAsia"/>
                                    </w:rPr>
                                    <w:t>界面付近での反射電子像。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1B1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7.45pt;margin-top:61.15pt;width:200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" fillcolor="white [3201]" stroked="f" strokeweight=".5pt">
                      <v:textbox>
                        <w:txbxContent>
                          <w:p w14:paraId="13F011CE" w14:textId="35C55795" w:rsidR="00673271" w:rsidRDefault="00673271">
                            <w:r w:rsidRPr="00673271">
                              <w:rPr>
                                <w:noProof/>
                              </w:rPr>
                              <w:drawing>
                                <wp:inline distT="0" distB="0" distL="0" distR="0" wp14:anchorId="6EBDAF7D" wp14:editId="5DFF4653">
                                  <wp:extent cx="2392045" cy="1256030"/>
                                  <wp:effectExtent l="0" t="0" r="8255" b="1270"/>
                                  <wp:docPr id="31" name="図 3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490B048-902A-F18D-4F9D-3270A58AA0D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図 3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90B048-902A-F18D-4F9D-3270A58AA0D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2045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476758" w14:textId="43B3565F" w:rsidR="00673271" w:rsidRDefault="00673271" w:rsidP="002B3E01">
                            <w:pPr>
                              <w:jc w:val="left"/>
                            </w:pPr>
                            <w:r w:rsidRPr="003B7FF7">
                              <w:rPr>
                                <w:rFonts w:ascii="Times New Roman" w:eastAsia="ＭＳ Ｐ明朝" w:hAnsi="Times New Roman"/>
                              </w:rPr>
                              <w:t>Ti-6Al-4V/Ti-15Mo-5Zr-3A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l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界面付近での反射電子像。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6D90" w:rsidRPr="005927ED">
              <w:rPr>
                <w:rFonts w:ascii="ＭＳ Ｐ明朝" w:eastAsia="ＭＳ Ｐ明朝" w:hAnsi="ＭＳ Ｐ明朝" w:hint="eastAsia"/>
                <w:spacing w:val="0"/>
              </w:rPr>
              <w:t>【研究成果】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本研究では、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低ヤング率、高強度・高延性、高耐食性を兼ね備え、インプラント用材料として期待される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型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Ti-15Mo-5Zr-3Al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合金を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="00973139">
              <w:rPr>
                <w:rFonts w:ascii="Times New Roman" w:eastAsia="ＭＳ Ｐ明朝" w:hAnsi="Times New Roman" w:cs="Times New Roman" w:hint="eastAsia"/>
                <w:spacing w:val="0"/>
              </w:rPr>
              <w:t>急冷を特徴とする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レーザ</w:t>
            </w:r>
            <w:r w:rsidR="003B7FF7">
              <w:rPr>
                <w:rFonts w:ascii="ＭＳ Ｐ明朝" w:eastAsia="ＭＳ Ｐ明朝" w:hAnsi="ＭＳ Ｐ明朝" w:hint="eastAsia"/>
              </w:rPr>
              <w:t>ー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粉末床溶融結合法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(LPBF)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を用いて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Ti-6Al-4V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合金板上に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造形し、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形成される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微細組織と組成分布について透過電子顕微鏡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(</w:t>
            </w:r>
            <w:r w:rsidR="001D257B">
              <w:rPr>
                <w:rFonts w:ascii="Times New Roman" w:eastAsia="ＭＳ Ｐ明朝" w:hAnsi="Times New Roman" w:cs="Times New Roman"/>
                <w:spacing w:val="0"/>
              </w:rPr>
              <w:t>TEM)</w:t>
            </w:r>
            <w:r w:rsidR="001D257B" w:rsidRPr="001D257B">
              <w:rPr>
                <w:rFonts w:ascii="Times New Roman" w:eastAsia="ＭＳ Ｐ明朝" w:hAnsi="Times New Roman" w:cs="Times New Roman"/>
                <w:spacing w:val="0"/>
              </w:rPr>
              <w:t>を用いて調べた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。レーザ</w:t>
            </w:r>
            <w:r w:rsidR="003B7FF7">
              <w:rPr>
                <w:rFonts w:ascii="ＭＳ Ｐ明朝" w:eastAsia="ＭＳ Ｐ明朝" w:hAnsi="ＭＳ Ｐ明朝" w:hint="eastAsia"/>
              </w:rPr>
              <w:t>ー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走査方向を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X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、造形方向を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Z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として、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Y</w:t>
            </w:r>
            <w:r w:rsidR="001D257B">
              <w:rPr>
                <w:rFonts w:ascii="Times New Roman" w:eastAsia="ＭＳ Ｐ明朝" w:hAnsi="Times New Roman" w:cs="Times New Roman"/>
                <w:spacing w:val="0"/>
              </w:rPr>
              <w:t>Z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断面の溶融池</w:t>
            </w:r>
            <w:r w:rsidR="005F6A35">
              <w:rPr>
                <w:rFonts w:ascii="Times New Roman" w:eastAsia="ＭＳ Ｐ明朝" w:hAnsi="Times New Roman" w:cs="Times New Roman" w:hint="eastAsia"/>
                <w:spacing w:val="0"/>
              </w:rPr>
              <w:t>内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からデュアルビーム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F</w:t>
            </w:r>
            <w:r w:rsidR="001D257B">
              <w:rPr>
                <w:rFonts w:ascii="Times New Roman" w:eastAsia="ＭＳ Ｐ明朝" w:hAnsi="Times New Roman" w:cs="Times New Roman"/>
                <w:spacing w:val="0"/>
              </w:rPr>
              <w:t>IB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を用いて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T</w:t>
            </w:r>
            <w:r w:rsidR="001D257B">
              <w:rPr>
                <w:rFonts w:ascii="Times New Roman" w:eastAsia="ＭＳ Ｐ明朝" w:hAnsi="Times New Roman" w:cs="Times New Roman"/>
                <w:spacing w:val="0"/>
              </w:rPr>
              <w:t>EM</w:t>
            </w:r>
            <w:r w:rsidR="001D257B">
              <w:rPr>
                <w:rFonts w:ascii="Times New Roman" w:eastAsia="ＭＳ Ｐ明朝" w:hAnsi="Times New Roman" w:cs="Times New Roman" w:hint="eastAsia"/>
                <w:spacing w:val="0"/>
              </w:rPr>
              <w:t>観察用試料を作製した。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S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TEM-EDS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元素分析の結果、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T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i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と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A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l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濃度が合金組成よりも約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1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 xml:space="preserve"> mass%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高く、さらに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V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が検出された。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溶融池中心部ではこの傾向がより顕著に現れた。これらの結果は、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積層造形中に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基板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(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ベースプレート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)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である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T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i-6Al-4V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合金の構成元素が造形体中に拡散していることを示している。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E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DS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分析箇所は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、基板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から約</w:t>
            </w:r>
            <w:r w:rsidR="00B12C36">
              <w:rPr>
                <w:rFonts w:ascii="Times New Roman" w:eastAsia="ＭＳ Ｐ明朝" w:hAnsi="Times New Roman" w:cs="Times New Roman"/>
                <w:spacing w:val="0"/>
              </w:rPr>
              <w:t>1</w:t>
            </w:r>
            <w:r w:rsidR="003B7FF7">
              <w:rPr>
                <w:rFonts w:ascii="Times New Roman" w:eastAsia="ＭＳ Ｐ明朝" w:hAnsi="Times New Roman" w:cs="Times New Roman" w:hint="eastAsia"/>
                <w:spacing w:val="0"/>
              </w:rPr>
              <w:t>50</w:t>
            </w:r>
            <w:r w:rsidR="00B12C36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  <w:proofErr w:type="spellStart"/>
            <w:r w:rsidR="005C644D" w:rsidRPr="005C644D">
              <w:rPr>
                <w:rFonts w:ascii="Times New Roman" w:eastAsia="ＭＳ Ｐ明朝" w:hAnsi="Times New Roman" w:cs="Times New Roman"/>
                <w:spacing w:val="0"/>
              </w:rPr>
              <w:t>μ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m</w:t>
            </w:r>
            <w:proofErr w:type="spellEnd"/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離れた領域であり、積層造形中の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T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i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A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l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V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の拡散が長距離に及んでいることが判明した。元素マッピングの結果、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溶融池内において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構成元素に偏析は観察されなかった。</w:t>
            </w:r>
          </w:p>
          <w:p w14:paraId="1B0D6485" w14:textId="7F89FAF1" w:rsidR="00596D90" w:rsidRPr="005927ED" w:rsidRDefault="00596D90" w:rsidP="002B3E01">
            <w:pPr>
              <w:pStyle w:val="a3"/>
              <w:wordWrap/>
              <w:spacing w:line="240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【展望】</w:t>
            </w:r>
            <w:r w:rsidR="002B3E01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B12C36">
              <w:rPr>
                <w:rFonts w:ascii="ＭＳ Ｐ明朝" w:eastAsia="ＭＳ Ｐ明朝" w:hAnsi="ＭＳ Ｐ明朝" w:hint="eastAsia"/>
                <w:spacing w:val="0"/>
              </w:rPr>
              <w:t>汎用チタン合金基板上での生体用</w:t>
            </w:r>
            <w:r w:rsidR="00B12C36" w:rsidRPr="00B12C36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 w:rsidR="00B12C36">
              <w:rPr>
                <w:rFonts w:ascii="ＭＳ Ｐ明朝" w:eastAsia="ＭＳ Ｐ明朝" w:hAnsi="ＭＳ Ｐ明朝" w:hint="eastAsia"/>
                <w:spacing w:val="0"/>
              </w:rPr>
              <w:t>型チタン合金の積層造形体において、基板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からの距離に対して</w:t>
            </w:r>
            <w:r w:rsidR="00673271">
              <w:rPr>
                <w:rFonts w:ascii="ＭＳ Ｐ明朝" w:eastAsia="ＭＳ Ｐ明朝" w:hAnsi="ＭＳ Ｐ明朝" w:hint="eastAsia"/>
                <w:spacing w:val="0"/>
              </w:rPr>
              <w:t>組成が連続的に変化していることが示唆された。</w:t>
            </w:r>
            <w:r w:rsidR="00973139">
              <w:rPr>
                <w:rFonts w:ascii="ＭＳ Ｐ明朝" w:eastAsia="ＭＳ Ｐ明朝" w:hAnsi="ＭＳ Ｐ明朝" w:hint="eastAsia"/>
                <w:spacing w:val="0"/>
              </w:rPr>
              <w:t>すなわち、相安定性の傾斜が示唆される。同時に、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ビッカース硬さが</w:t>
            </w:r>
            <w:r w:rsidR="00B12C36">
              <w:rPr>
                <w:rFonts w:ascii="ＭＳ Ｐ明朝" w:eastAsia="ＭＳ Ｐ明朝" w:hAnsi="ＭＳ Ｐ明朝" w:hint="eastAsia"/>
                <w:spacing w:val="0"/>
              </w:rPr>
              <w:t>変化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していることから、</w:t>
            </w:r>
            <w:r w:rsidR="00973139">
              <w:rPr>
                <w:rFonts w:ascii="ＭＳ Ｐ明朝" w:eastAsia="ＭＳ Ｐ明朝" w:hAnsi="ＭＳ Ｐ明朝" w:hint="eastAsia"/>
                <w:spacing w:val="0"/>
              </w:rPr>
              <w:t>組成、相構成、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微細組織</w:t>
            </w:r>
            <w:r w:rsidR="00B12C36">
              <w:rPr>
                <w:rFonts w:ascii="ＭＳ Ｐ明朝" w:eastAsia="ＭＳ Ｐ明朝" w:hAnsi="ＭＳ Ｐ明朝" w:hint="eastAsia"/>
                <w:spacing w:val="0"/>
              </w:rPr>
              <w:t>、結晶配向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を</w:t>
            </w:r>
            <w:r w:rsidR="00673271">
              <w:rPr>
                <w:rFonts w:ascii="ＭＳ Ｐ明朝" w:eastAsia="ＭＳ Ｐ明朝" w:hAnsi="ＭＳ Ｐ明朝" w:hint="eastAsia"/>
                <w:spacing w:val="0"/>
              </w:rPr>
              <w:t>ナノオーダーで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詳細に調べて硬さ変化の起源を明らかに</w:t>
            </w:r>
            <w:r w:rsidR="00B12C36">
              <w:rPr>
                <w:rFonts w:ascii="ＭＳ Ｐ明朝" w:eastAsia="ＭＳ Ｐ明朝" w:hAnsi="ＭＳ Ｐ明朝" w:hint="eastAsia"/>
                <w:spacing w:val="0"/>
              </w:rPr>
              <w:t>するとともに、力学特性や耐食性への影響について考察し、高機能化への指針を提案する。</w:t>
            </w:r>
          </w:p>
          <w:p w14:paraId="2B1D7F3D" w14:textId="4144D6CC" w:rsidR="00425106" w:rsidRPr="002B3E01" w:rsidRDefault="00596D90" w:rsidP="002B3E01">
            <w:pPr>
              <w:pStyle w:val="a3"/>
              <w:wordWrap/>
              <w:spacing w:line="240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  <w:r w:rsidR="003B7FF7" w:rsidRPr="003B7FF7">
              <w:rPr>
                <w:rFonts w:ascii="Times New Roman" w:eastAsia="ＭＳ Ｐ明朝" w:hAnsi="Times New Roman" w:cs="Times New Roman"/>
                <w:spacing w:val="0"/>
              </w:rPr>
              <w:t>＜国内学会（ポスター）＞レーザ粉末床溶融結合法による</w:t>
            </w:r>
            <w:r w:rsidR="003B7FF7" w:rsidRPr="003B7FF7">
              <w:rPr>
                <w:rFonts w:ascii="Times New Roman" w:eastAsia="ＭＳ Ｐ明朝" w:hAnsi="Times New Roman" w:cs="Times New Roman"/>
                <w:spacing w:val="0"/>
              </w:rPr>
              <w:t>Ti-6Al-4V/Ti-15Mo-5Zr-3Al</w:t>
            </w:r>
            <w:r w:rsidR="003B7FF7" w:rsidRPr="003B7FF7">
              <w:rPr>
                <w:rFonts w:ascii="Times New Roman" w:eastAsia="ＭＳ Ｐ明朝" w:hAnsi="Times New Roman" w:cs="Times New Roman"/>
                <w:spacing w:val="0"/>
              </w:rPr>
              <w:t>マルチマテリアル界面での組織、強度解析</w:t>
            </w:r>
            <w:r w:rsidR="003B7FF7" w:rsidRPr="003B7FF7">
              <w:rPr>
                <w:rFonts w:ascii="Times New Roman" w:eastAsia="ＭＳ Ｐ明朝" w:hAnsi="Times New Roman" w:cs="Times New Roman"/>
                <w:spacing w:val="0"/>
              </w:rPr>
              <w:t xml:space="preserve">, </w:t>
            </w:r>
            <w:r w:rsidR="00673271" w:rsidRPr="00673271">
              <w:rPr>
                <w:rFonts w:ascii="Times New Roman" w:eastAsia="ＭＳ Ｐ明朝" w:hAnsi="Times New Roman" w:cs="Times New Roman" w:hint="eastAsia"/>
                <w:spacing w:val="0"/>
              </w:rPr>
              <w:t>第</w:t>
            </w:r>
            <w:r w:rsidR="00673271" w:rsidRPr="00673271">
              <w:rPr>
                <w:rFonts w:ascii="Times New Roman" w:eastAsia="ＭＳ Ｐ明朝" w:hAnsi="Times New Roman" w:cs="Times New Roman" w:hint="eastAsia"/>
                <w:spacing w:val="0"/>
              </w:rPr>
              <w:t>6</w:t>
            </w:r>
            <w:r w:rsidR="00673271" w:rsidRPr="00673271">
              <w:rPr>
                <w:rFonts w:ascii="Times New Roman" w:eastAsia="ＭＳ Ｐ明朝" w:hAnsi="Times New Roman" w:cs="Times New Roman" w:hint="eastAsia"/>
                <w:spacing w:val="0"/>
              </w:rPr>
              <w:t>回日本金属学会第７分野講演会</w:t>
            </w:r>
            <w:r w:rsidR="00673271">
              <w:rPr>
                <w:rFonts w:ascii="Times New Roman" w:eastAsia="ＭＳ Ｐ明朝" w:hAnsi="Times New Roman" w:cs="Times New Roman" w:hint="eastAsia"/>
                <w:spacing w:val="0"/>
              </w:rPr>
              <w:t xml:space="preserve">, </w:t>
            </w:r>
            <w:r w:rsidR="003B7FF7" w:rsidRPr="003B7FF7">
              <w:rPr>
                <w:rFonts w:ascii="Times New Roman" w:eastAsia="ＭＳ Ｐ明朝" w:hAnsi="Times New Roman" w:cs="Times New Roman"/>
                <w:spacing w:val="0"/>
              </w:rPr>
              <w:t>東北大学片平キャンパスさくらホール</w:t>
            </w:r>
            <w:r w:rsidR="003B7FF7" w:rsidRPr="003B7FF7">
              <w:rPr>
                <w:rFonts w:ascii="Times New Roman" w:eastAsia="ＭＳ Ｐ明朝" w:hAnsi="Times New Roman" w:cs="Times New Roman"/>
                <w:spacing w:val="0"/>
              </w:rPr>
              <w:t>, 2023/12/23.</w:t>
            </w:r>
          </w:p>
        </w:tc>
      </w:tr>
      <w:tr w:rsidR="00A16AEA" w:rsidRPr="00E11E3A" w14:paraId="23E04DAF" w14:textId="77777777" w:rsidTr="002B3E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156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A22A4DD" w:rsidR="00A16AEA" w:rsidRPr="002B3E01" w:rsidRDefault="00A16AEA" w:rsidP="002B3E0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EB3380"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4</w:t>
            </w: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 w:rsidRPr="002B3E01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EB3380"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0</w:t>
            </w: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2B3E01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2B3E0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2B3E01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2B3E01">
      <w:pPr>
        <w:rPr>
          <w:rFonts w:hint="eastAsia"/>
          <w:sz w:val="24"/>
          <w:szCs w:val="28"/>
        </w:rPr>
      </w:pPr>
    </w:p>
    <w:sectPr w:rsidR="008915C0" w:rsidRPr="008915C0" w:rsidSect="0056528D">
      <w:headerReference w:type="default" r:id="rId9"/>
      <w:footerReference w:type="default" r:id="rId10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1098" w14:textId="77777777" w:rsidR="0056528D" w:rsidRDefault="0056528D">
      <w:r>
        <w:separator/>
      </w:r>
    </w:p>
  </w:endnote>
  <w:endnote w:type="continuationSeparator" w:id="0">
    <w:p w14:paraId="614F9FBA" w14:textId="77777777" w:rsidR="0056528D" w:rsidRDefault="005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4A6F" w14:textId="77777777" w:rsidR="0056528D" w:rsidRDefault="0056528D">
      <w:r>
        <w:separator/>
      </w:r>
    </w:p>
  </w:footnote>
  <w:footnote w:type="continuationSeparator" w:id="0">
    <w:p w14:paraId="52F16418" w14:textId="77777777" w:rsidR="0056528D" w:rsidRDefault="0056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D257B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3E01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B7FF7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25106"/>
    <w:rsid w:val="00430ED2"/>
    <w:rsid w:val="004335B3"/>
    <w:rsid w:val="00443DAF"/>
    <w:rsid w:val="0046310B"/>
    <w:rsid w:val="00470F9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C644D"/>
    <w:rsid w:val="005E3E12"/>
    <w:rsid w:val="005F6A35"/>
    <w:rsid w:val="005F7A9B"/>
    <w:rsid w:val="006072A7"/>
    <w:rsid w:val="00657E4A"/>
    <w:rsid w:val="00663CBD"/>
    <w:rsid w:val="00670540"/>
    <w:rsid w:val="00673271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41C56"/>
    <w:rsid w:val="009534DB"/>
    <w:rsid w:val="00954345"/>
    <w:rsid w:val="009637A5"/>
    <w:rsid w:val="00973139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12C36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1162</Words>
  <Characters>224</Characters>
  <Application>Microsoft Office Word</Application>
  <DocSecurity>4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Sato Kazuhisa</cp:lastModifiedBy>
  <cp:revision>2</cp:revision>
  <cp:lastPrinted>2017-05-26T07:42:00Z</cp:lastPrinted>
  <dcterms:created xsi:type="dcterms:W3CDTF">2024-05-02T07:49:00Z</dcterms:created>
  <dcterms:modified xsi:type="dcterms:W3CDTF">2024-05-02T07:49:00Z</dcterms:modified>
</cp:coreProperties>
</file>